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83017">
      <w:pPr>
        <w:pStyle w:val="3"/>
        <w:jc w:val="left"/>
        <w:rPr>
          <w:rFonts w:hint="eastAsia" w:ascii="宋体" w:hAnsi="宋体" w:eastAsia="宋体"/>
          <w:sz w:val="40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附件5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：</w:t>
      </w:r>
    </w:p>
    <w:p w14:paraId="7E07E5A7">
      <w:pPr>
        <w:pStyle w:val="3"/>
        <w:jc w:val="center"/>
        <w:rPr>
          <w:rFonts w:ascii="宋体" w:hAnsi="宋体" w:eastAsia="宋体"/>
          <w:sz w:val="40"/>
        </w:rPr>
      </w:pPr>
      <w:r>
        <w:rPr>
          <w:rFonts w:hint="eastAsia" w:ascii="宋体" w:hAnsi="宋体" w:eastAsia="宋体"/>
          <w:sz w:val="40"/>
        </w:rPr>
        <w:t>垫江县中医院</w:t>
      </w:r>
      <w:r>
        <w:rPr>
          <w:rFonts w:ascii="宋体" w:hAnsi="宋体" w:eastAsia="宋体"/>
          <w:sz w:val="40"/>
        </w:rPr>
        <w:t>药品</w:t>
      </w:r>
      <w:r>
        <w:rPr>
          <w:rFonts w:hint="eastAsia" w:ascii="宋体" w:hAnsi="宋体" w:eastAsia="宋体"/>
          <w:sz w:val="40"/>
        </w:rPr>
        <w:t>厂家</w:t>
      </w:r>
      <w:r>
        <w:rPr>
          <w:rFonts w:ascii="宋体" w:hAnsi="宋体" w:eastAsia="宋体"/>
          <w:sz w:val="40"/>
        </w:rPr>
        <w:t>量化</w:t>
      </w:r>
      <w:r>
        <w:rPr>
          <w:rFonts w:hint="eastAsia" w:ascii="宋体" w:hAnsi="宋体" w:eastAsia="宋体"/>
          <w:sz w:val="40"/>
        </w:rPr>
        <w:t>评分</w:t>
      </w:r>
      <w:r>
        <w:rPr>
          <w:rFonts w:ascii="宋体" w:hAnsi="宋体" w:eastAsia="宋体"/>
          <w:sz w:val="40"/>
        </w:rPr>
        <w:t>表</w:t>
      </w:r>
    </w:p>
    <w:tbl>
      <w:tblPr>
        <w:tblStyle w:val="8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5074"/>
        <w:gridCol w:w="851"/>
        <w:gridCol w:w="737"/>
      </w:tblGrid>
      <w:tr w14:paraId="743B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100" w:type="dxa"/>
          </w:tcPr>
          <w:p w14:paraId="3C04CCBB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药品名称</w:t>
            </w:r>
          </w:p>
        </w:tc>
        <w:tc>
          <w:tcPr>
            <w:tcW w:w="5074" w:type="dxa"/>
          </w:tcPr>
          <w:p w14:paraId="371B2545">
            <w:pPr>
              <w:jc w:val="center"/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851" w:type="dxa"/>
          </w:tcPr>
          <w:p w14:paraId="31AEC694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规格</w:t>
            </w:r>
          </w:p>
        </w:tc>
        <w:tc>
          <w:tcPr>
            <w:tcW w:w="737" w:type="dxa"/>
          </w:tcPr>
          <w:p w14:paraId="0D07F762">
            <w:pPr>
              <w:jc w:val="center"/>
              <w:rPr>
                <w:rFonts w:ascii="宋体" w:hAnsi="宋体" w:eastAsia="宋体"/>
                <w:b/>
                <w:sz w:val="22"/>
              </w:rPr>
            </w:pPr>
          </w:p>
        </w:tc>
      </w:tr>
      <w:tr w14:paraId="6FBA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100" w:type="dxa"/>
          </w:tcPr>
          <w:p w14:paraId="6F122AB6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生产厂家</w:t>
            </w:r>
          </w:p>
        </w:tc>
        <w:tc>
          <w:tcPr>
            <w:tcW w:w="5074" w:type="dxa"/>
          </w:tcPr>
          <w:p w14:paraId="067B9A34">
            <w:pPr>
              <w:jc w:val="center"/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851" w:type="dxa"/>
          </w:tcPr>
          <w:p w14:paraId="3E31835E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价格</w:t>
            </w:r>
          </w:p>
        </w:tc>
        <w:tc>
          <w:tcPr>
            <w:tcW w:w="737" w:type="dxa"/>
          </w:tcPr>
          <w:p w14:paraId="79100E7F">
            <w:pPr>
              <w:jc w:val="center"/>
              <w:rPr>
                <w:rFonts w:ascii="宋体" w:hAnsi="宋体" w:eastAsia="宋体"/>
                <w:b/>
                <w:sz w:val="22"/>
              </w:rPr>
            </w:pPr>
          </w:p>
        </w:tc>
      </w:tr>
      <w:tr w14:paraId="48B5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100" w:type="dxa"/>
            <w:vAlign w:val="center"/>
          </w:tcPr>
          <w:p w14:paraId="0DB3B345">
            <w:pPr>
              <w:jc w:val="center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评价指标</w:t>
            </w:r>
          </w:p>
        </w:tc>
        <w:tc>
          <w:tcPr>
            <w:tcW w:w="5074" w:type="dxa"/>
            <w:vAlign w:val="center"/>
          </w:tcPr>
          <w:p w14:paraId="50ECEF6D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指标体系及权重系数细则</w:t>
            </w:r>
            <w:r>
              <w:rPr>
                <w:rFonts w:ascii="宋体" w:hAnsi="宋体" w:eastAsia="宋体"/>
                <w:b/>
                <w:sz w:val="22"/>
              </w:rPr>
              <w:t>(指标信息和数据来源)</w:t>
            </w:r>
          </w:p>
        </w:tc>
        <w:tc>
          <w:tcPr>
            <w:tcW w:w="851" w:type="dxa"/>
          </w:tcPr>
          <w:p w14:paraId="15B438F7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自评得分</w:t>
            </w:r>
          </w:p>
        </w:tc>
        <w:tc>
          <w:tcPr>
            <w:tcW w:w="737" w:type="dxa"/>
          </w:tcPr>
          <w:p w14:paraId="68C60007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医院</w:t>
            </w:r>
          </w:p>
          <w:p w14:paraId="4EBC0B74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评分</w:t>
            </w:r>
          </w:p>
        </w:tc>
      </w:tr>
      <w:tr w14:paraId="2919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174" w:type="dxa"/>
            <w:gridSpan w:val="2"/>
          </w:tcPr>
          <w:p w14:paraId="6F6AC63D">
            <w:pPr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一、药学特性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1</w:t>
            </w:r>
            <w:r>
              <w:rPr>
                <w:rFonts w:ascii="宋体" w:hAnsi="宋体" w:eastAsia="宋体"/>
                <w:b/>
                <w:sz w:val="22"/>
              </w:rPr>
              <w:t>0分)</w:t>
            </w:r>
          </w:p>
        </w:tc>
        <w:tc>
          <w:tcPr>
            <w:tcW w:w="851" w:type="dxa"/>
          </w:tcPr>
          <w:p w14:paraId="1EAEF026">
            <w:pPr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737" w:type="dxa"/>
          </w:tcPr>
          <w:p w14:paraId="2D0BBA6C">
            <w:pPr>
              <w:rPr>
                <w:rFonts w:ascii="宋体" w:hAnsi="宋体" w:eastAsia="宋体"/>
                <w:b/>
                <w:sz w:val="22"/>
              </w:rPr>
            </w:pPr>
          </w:p>
        </w:tc>
      </w:tr>
      <w:tr w14:paraId="368E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7A0AF924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药剂学和使用方法</w:t>
            </w:r>
            <w:r>
              <w:rPr>
                <w:rFonts w:ascii="宋体" w:hAnsi="宋体" w:eastAsia="宋体"/>
                <w:sz w:val="22"/>
              </w:rPr>
              <w:t>(6分)(可多选)</w:t>
            </w:r>
          </w:p>
        </w:tc>
        <w:tc>
          <w:tcPr>
            <w:tcW w:w="5074" w:type="dxa"/>
          </w:tcPr>
          <w:p w14:paraId="21605C7C">
            <w:pPr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主要成分及辅料明确</w:t>
            </w:r>
            <w:r>
              <w:rPr>
                <w:rFonts w:hint="eastAsia" w:ascii="宋体" w:hAnsi="宋体"/>
                <w:sz w:val="22"/>
              </w:rPr>
              <w:t xml:space="preserve">     </w:t>
            </w:r>
            <w:r>
              <w:rPr>
                <w:rFonts w:ascii="宋体" w:hAnsi="宋体" w:eastAsia="宋体"/>
                <w:sz w:val="22"/>
              </w:rPr>
              <w:t>2分</w:t>
            </w:r>
            <w:r>
              <w:rPr>
                <w:rFonts w:hint="eastAsia" w:ascii="宋体" w:hAnsi="宋体" w:eastAsia="宋体"/>
                <w:sz w:val="22"/>
              </w:rPr>
              <w:t xml:space="preserve"> 剂</w:t>
            </w:r>
            <w:r>
              <w:rPr>
                <w:rFonts w:ascii="宋体" w:hAnsi="宋体" w:eastAsia="宋体"/>
                <w:sz w:val="22"/>
              </w:rPr>
              <w:t>型适宜</w:t>
            </w:r>
          </w:p>
          <w:p w14:paraId="3489C0EA">
            <w:pPr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给药剂量</w:t>
            </w:r>
            <w:r>
              <w:rPr>
                <w:rFonts w:hint="eastAsia" w:ascii="宋体" w:hAnsi="宋体" w:eastAsia="宋体"/>
                <w:sz w:val="22"/>
              </w:rPr>
              <w:t>方便</w:t>
            </w:r>
            <w:r>
              <w:rPr>
                <w:rFonts w:hint="eastAsia" w:ascii="宋体" w:hAnsi="宋体"/>
                <w:sz w:val="22"/>
              </w:rPr>
              <w:t xml:space="preserve">           </w:t>
            </w: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给药频次适宜</w:t>
            </w:r>
          </w:p>
          <w:p w14:paraId="1ABE104C">
            <w:pPr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使用方便</w:t>
            </w:r>
          </w:p>
        </w:tc>
        <w:tc>
          <w:tcPr>
            <w:tcW w:w="851" w:type="dxa"/>
          </w:tcPr>
          <w:p w14:paraId="5C6C2739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2A8E8C07">
            <w:pPr>
              <w:rPr>
                <w:rFonts w:ascii="宋体" w:hAnsi="宋体" w:eastAsia="宋体"/>
                <w:sz w:val="22"/>
              </w:rPr>
            </w:pPr>
          </w:p>
        </w:tc>
      </w:tr>
      <w:tr w14:paraId="2CEA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0ACB13D6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一致性评价</w:t>
            </w:r>
            <w:r>
              <w:rPr>
                <w:rFonts w:ascii="宋体" w:hAnsi="宋体" w:eastAsia="宋体"/>
                <w:sz w:val="22"/>
              </w:rPr>
              <w:t>(</w:t>
            </w:r>
            <w:r>
              <w:rPr>
                <w:rFonts w:hint="eastAsia" w:ascii="宋体" w:hAnsi="宋体" w:eastAsia="宋体"/>
                <w:sz w:val="22"/>
              </w:rPr>
              <w:t>4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</w:tc>
        <w:tc>
          <w:tcPr>
            <w:tcW w:w="5074" w:type="dxa"/>
          </w:tcPr>
          <w:p w14:paraId="38447A1D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4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原研药品/参比药品</w:t>
            </w:r>
          </w:p>
          <w:p w14:paraId="702AF297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通过一致性评价的仿制药品</w:t>
            </w:r>
          </w:p>
        </w:tc>
        <w:tc>
          <w:tcPr>
            <w:tcW w:w="851" w:type="dxa"/>
          </w:tcPr>
          <w:p w14:paraId="561FA495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5452551B">
            <w:pPr>
              <w:rPr>
                <w:rFonts w:ascii="宋体" w:hAnsi="宋体" w:eastAsia="宋体"/>
                <w:sz w:val="22"/>
              </w:rPr>
            </w:pPr>
          </w:p>
        </w:tc>
      </w:tr>
      <w:tr w14:paraId="3FB4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4" w:type="dxa"/>
            <w:gridSpan w:val="2"/>
          </w:tcPr>
          <w:p w14:paraId="2377B9D2">
            <w:pPr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二、安全性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2</w:t>
            </w:r>
            <w:r>
              <w:rPr>
                <w:rFonts w:ascii="宋体" w:hAnsi="宋体" w:eastAsia="宋体"/>
                <w:b/>
                <w:sz w:val="22"/>
              </w:rPr>
              <w:t>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  <w:tc>
          <w:tcPr>
            <w:tcW w:w="851" w:type="dxa"/>
          </w:tcPr>
          <w:p w14:paraId="5F00720F">
            <w:pPr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737" w:type="dxa"/>
          </w:tcPr>
          <w:p w14:paraId="00C5564B">
            <w:pPr>
              <w:rPr>
                <w:rFonts w:ascii="宋体" w:hAnsi="宋体" w:eastAsia="宋体"/>
                <w:b/>
                <w:sz w:val="22"/>
              </w:rPr>
            </w:pPr>
          </w:p>
        </w:tc>
      </w:tr>
      <w:tr w14:paraId="196D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76B63193">
            <w:pPr>
              <w:rPr>
                <w:rFonts w:ascii="宋体" w:hAnsi="宋体" w:eastAsia="宋体"/>
                <w:sz w:val="22"/>
              </w:rPr>
            </w:pPr>
          </w:p>
          <w:p w14:paraId="2FFF7364">
            <w:pPr>
              <w:rPr>
                <w:rFonts w:ascii="宋体" w:hAnsi="宋体" w:eastAsia="宋体"/>
                <w:sz w:val="22"/>
              </w:rPr>
            </w:pPr>
          </w:p>
          <w:p w14:paraId="7D4C7C6A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特殊人群</w:t>
            </w:r>
            <w:r>
              <w:rPr>
                <w:rFonts w:ascii="宋体" w:hAnsi="宋体" w:eastAsia="宋体"/>
                <w:sz w:val="22"/>
              </w:rPr>
              <w:t>(可多选)(</w:t>
            </w:r>
            <w:r>
              <w:rPr>
                <w:rFonts w:hint="eastAsia" w:ascii="宋体" w:hAnsi="宋体" w:eastAsia="宋体"/>
                <w:sz w:val="22"/>
              </w:rPr>
              <w:t>20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  <w:p w14:paraId="4847A0BD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5074" w:type="dxa"/>
          </w:tcPr>
          <w:p w14:paraId="21F6FA7C">
            <w:pPr>
              <w:rPr>
                <w:rFonts w:hint="eastAsia" w:ascii="宋体" w:hAnsi="宋体" w:eastAsia="宋体"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2岁以下儿童</w:t>
            </w:r>
            <w:r>
              <w:rPr>
                <w:rFonts w:ascii="宋体" w:hAnsi="宋体" w:eastAsia="宋体"/>
                <w:color w:val="auto"/>
                <w:sz w:val="22"/>
              </w:rPr>
              <w:t>可用</w:t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2"/>
                <w:lang w:val="en-US" w:eastAsia="zh-CN"/>
              </w:rPr>
              <w:t>2-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6岁儿童</w:t>
            </w:r>
            <w:r>
              <w:rPr>
                <w:rFonts w:ascii="宋体" w:hAnsi="宋体" w:eastAsia="宋体"/>
                <w:color w:val="auto"/>
                <w:sz w:val="22"/>
              </w:rPr>
              <w:t>可用</w:t>
            </w:r>
          </w:p>
          <w:p w14:paraId="2ED7DB7E">
            <w:pPr>
              <w:rPr>
                <w:rFonts w:ascii="宋体" w:hAnsi="宋体" w:eastAsia="宋体"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</w:rPr>
              <w:t>2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2"/>
                <w:lang w:val="en-US" w:eastAsia="zh-CN"/>
              </w:rPr>
              <w:t>6-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12岁儿童</w:t>
            </w:r>
            <w:r>
              <w:rPr>
                <w:rFonts w:ascii="宋体" w:hAnsi="宋体" w:eastAsia="宋体"/>
                <w:color w:val="auto"/>
                <w:sz w:val="22"/>
              </w:rPr>
              <w:t>可用</w:t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2"/>
                <w:lang w:val="en-US" w:eastAsia="zh-CN"/>
              </w:rPr>
              <w:t>60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岁以上</w:t>
            </w:r>
            <w:r>
              <w:rPr>
                <w:rFonts w:ascii="宋体" w:hAnsi="宋体" w:eastAsia="宋体"/>
                <w:color w:val="auto"/>
                <w:sz w:val="22"/>
              </w:rPr>
              <w:t>可用</w:t>
            </w:r>
          </w:p>
          <w:p w14:paraId="170A8B2D">
            <w:pPr>
              <w:rPr>
                <w:rFonts w:ascii="宋体" w:hAnsi="宋体" w:eastAsia="宋体"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2"/>
              </w:rPr>
              <w:t>孕妇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、</w:t>
            </w:r>
            <w:r>
              <w:rPr>
                <w:rFonts w:ascii="宋体" w:hAnsi="宋体" w:eastAsia="宋体"/>
                <w:color w:val="auto"/>
                <w:sz w:val="22"/>
              </w:rPr>
              <w:t>哺乳期妇女可用</w:t>
            </w:r>
          </w:p>
          <w:p w14:paraId="1C4F24C8">
            <w:pPr>
              <w:rPr>
                <w:rFonts w:ascii="宋体" w:hAnsi="宋体" w:eastAsia="宋体"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2"/>
              </w:rPr>
              <w:t>肝功能异常可用</w:t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    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>3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hint="eastAsia" w:ascii="宋体" w:hAnsi="宋体" w:eastAsia="宋体"/>
                <w:color w:val="auto"/>
                <w:sz w:val="22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2"/>
              </w:rPr>
              <w:t>肾功能异常可用</w:t>
            </w:r>
          </w:p>
          <w:p w14:paraId="293D5389">
            <w:pPr>
              <w:rPr>
                <w:rFonts w:ascii="宋体" w:hAnsi="宋体" w:eastAsia="宋体"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</w:rPr>
              <w:t>以说明书为准</w:t>
            </w:r>
          </w:p>
        </w:tc>
        <w:tc>
          <w:tcPr>
            <w:tcW w:w="851" w:type="dxa"/>
          </w:tcPr>
          <w:p w14:paraId="181371D1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192899C8">
            <w:pPr>
              <w:rPr>
                <w:rFonts w:ascii="宋体" w:hAnsi="宋体" w:eastAsia="宋体"/>
                <w:sz w:val="22"/>
              </w:rPr>
            </w:pPr>
          </w:p>
        </w:tc>
      </w:tr>
      <w:tr w14:paraId="69FE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4" w:type="dxa"/>
            <w:gridSpan w:val="2"/>
          </w:tcPr>
          <w:p w14:paraId="6DD2209F">
            <w:pPr>
              <w:rPr>
                <w:rFonts w:ascii="宋体" w:hAnsi="宋体" w:eastAsia="宋体"/>
                <w:b/>
                <w:color w:val="auto"/>
                <w:sz w:val="22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2"/>
              </w:rPr>
              <w:t>三、经济性</w:t>
            </w:r>
            <w:r>
              <w:rPr>
                <w:rFonts w:ascii="宋体" w:hAnsi="宋体" w:eastAsia="宋体"/>
                <w:b/>
                <w:color w:val="auto"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color w:val="auto"/>
                <w:sz w:val="22"/>
              </w:rPr>
              <w:t>30</w:t>
            </w:r>
            <w:r>
              <w:rPr>
                <w:rFonts w:ascii="宋体" w:hAnsi="宋体" w:eastAsia="宋体"/>
                <w:color w:val="auto"/>
                <w:sz w:val="22"/>
              </w:rPr>
              <w:t>分</w:t>
            </w:r>
            <w:r>
              <w:rPr>
                <w:rFonts w:ascii="宋体" w:hAnsi="宋体" w:eastAsia="宋体"/>
                <w:b/>
                <w:color w:val="auto"/>
                <w:sz w:val="22"/>
              </w:rPr>
              <w:t>)</w:t>
            </w:r>
          </w:p>
        </w:tc>
        <w:tc>
          <w:tcPr>
            <w:tcW w:w="851" w:type="dxa"/>
          </w:tcPr>
          <w:p w14:paraId="06379BEF">
            <w:pPr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737" w:type="dxa"/>
          </w:tcPr>
          <w:p w14:paraId="23C048A8">
            <w:pPr>
              <w:rPr>
                <w:rFonts w:ascii="宋体" w:hAnsi="宋体" w:eastAsia="宋体"/>
                <w:b/>
                <w:sz w:val="22"/>
              </w:rPr>
            </w:pPr>
          </w:p>
        </w:tc>
      </w:tr>
      <w:tr w14:paraId="3931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3B6410E0">
            <w:pPr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同通用名药品(</w:t>
            </w:r>
            <w:r>
              <w:rPr>
                <w:rFonts w:hint="eastAsia" w:ascii="宋体" w:hAnsi="宋体" w:eastAsia="宋体"/>
                <w:sz w:val="22"/>
              </w:rPr>
              <w:t>30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</w:tc>
        <w:tc>
          <w:tcPr>
            <w:tcW w:w="5074" w:type="dxa"/>
          </w:tcPr>
          <w:p w14:paraId="5419C387">
            <w:pPr>
              <w:rPr>
                <w:rFonts w:hint="default" w:ascii="宋体" w:hAnsi="宋体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lang w:val="en-US" w:eastAsia="zh-CN"/>
              </w:rPr>
              <w:t>以日均治疗费用最低的为满分，治疗费用每增加1个百分点扣除0.2分，扣完为止。</w:t>
            </w:r>
          </w:p>
        </w:tc>
        <w:tc>
          <w:tcPr>
            <w:tcW w:w="851" w:type="dxa"/>
          </w:tcPr>
          <w:p w14:paraId="7DFDC038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51F8E744">
            <w:pPr>
              <w:rPr>
                <w:rFonts w:ascii="宋体" w:hAnsi="宋体" w:eastAsia="宋体"/>
                <w:sz w:val="22"/>
              </w:rPr>
            </w:pPr>
          </w:p>
        </w:tc>
      </w:tr>
      <w:tr w14:paraId="591C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4" w:type="dxa"/>
            <w:gridSpan w:val="2"/>
          </w:tcPr>
          <w:p w14:paraId="663DBF43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四、可及性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30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  <w:tc>
          <w:tcPr>
            <w:tcW w:w="851" w:type="dxa"/>
          </w:tcPr>
          <w:p w14:paraId="3E5D00B6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243EDE12">
            <w:pPr>
              <w:rPr>
                <w:rFonts w:ascii="宋体" w:hAnsi="宋体" w:eastAsia="宋体"/>
                <w:sz w:val="22"/>
              </w:rPr>
            </w:pPr>
          </w:p>
        </w:tc>
      </w:tr>
      <w:tr w14:paraId="2DD6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23695D78">
            <w:pPr>
              <w:jc w:val="both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重庆市内销售情况（30分）</w:t>
            </w:r>
          </w:p>
        </w:tc>
        <w:tc>
          <w:tcPr>
            <w:tcW w:w="5074" w:type="dxa"/>
          </w:tcPr>
          <w:p w14:paraId="1352161B">
            <w:pPr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近3月内，供应的委属医院（含陆军军医大序列），每有一家得1分；供应的区县级三级医院，每有一家得0.5分；上限共计30分，以药交所平台交易记录为准。</w:t>
            </w:r>
          </w:p>
        </w:tc>
        <w:tc>
          <w:tcPr>
            <w:tcW w:w="851" w:type="dxa"/>
          </w:tcPr>
          <w:p w14:paraId="740A9986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6CB93171">
            <w:pPr>
              <w:rPr>
                <w:rFonts w:ascii="宋体" w:hAnsi="宋体" w:eastAsia="宋体"/>
                <w:sz w:val="22"/>
              </w:rPr>
            </w:pPr>
          </w:p>
        </w:tc>
      </w:tr>
      <w:tr w14:paraId="460C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4" w:type="dxa"/>
            <w:gridSpan w:val="2"/>
          </w:tcPr>
          <w:p w14:paraId="1D9C95E6">
            <w:pPr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b/>
                <w:sz w:val="22"/>
              </w:rPr>
              <w:t>、其他属性</w:t>
            </w:r>
            <w:r>
              <w:rPr>
                <w:rFonts w:ascii="宋体" w:hAnsi="宋体" w:eastAsia="宋体"/>
                <w:b/>
                <w:sz w:val="22"/>
              </w:rPr>
              <w:t>(</w:t>
            </w:r>
            <w:r>
              <w:rPr>
                <w:rFonts w:hint="eastAsia" w:ascii="宋体" w:hAnsi="宋体" w:eastAsia="宋体"/>
                <w:b/>
                <w:sz w:val="22"/>
              </w:rPr>
              <w:t>10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ascii="宋体" w:hAnsi="宋体" w:eastAsia="宋体"/>
                <w:b/>
                <w:sz w:val="22"/>
              </w:rPr>
              <w:t>)</w:t>
            </w:r>
          </w:p>
        </w:tc>
        <w:tc>
          <w:tcPr>
            <w:tcW w:w="851" w:type="dxa"/>
          </w:tcPr>
          <w:p w14:paraId="3564B100">
            <w:pPr>
              <w:rPr>
                <w:rFonts w:ascii="宋体" w:hAnsi="宋体" w:eastAsia="宋体"/>
                <w:b/>
                <w:sz w:val="22"/>
              </w:rPr>
            </w:pPr>
          </w:p>
        </w:tc>
        <w:tc>
          <w:tcPr>
            <w:tcW w:w="737" w:type="dxa"/>
          </w:tcPr>
          <w:p w14:paraId="5E7D7F8D">
            <w:pPr>
              <w:rPr>
                <w:rFonts w:ascii="宋体" w:hAnsi="宋体" w:eastAsia="宋体"/>
                <w:b/>
                <w:sz w:val="22"/>
              </w:rPr>
            </w:pPr>
          </w:p>
        </w:tc>
      </w:tr>
      <w:tr w14:paraId="3D99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3BC8832B">
            <w:pPr>
              <w:jc w:val="both"/>
              <w:rPr>
                <w:rFonts w:ascii="宋体" w:hAnsi="宋体" w:eastAsia="宋体"/>
                <w:sz w:val="22"/>
              </w:rPr>
            </w:pPr>
          </w:p>
          <w:p w14:paraId="48D632CC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贮藏条件</w:t>
            </w:r>
            <w:r>
              <w:rPr>
                <w:rFonts w:ascii="宋体" w:hAnsi="宋体" w:eastAsia="宋体"/>
                <w:sz w:val="22"/>
              </w:rPr>
              <w:t>(</w:t>
            </w:r>
            <w:r>
              <w:rPr>
                <w:rFonts w:hint="eastAsia" w:ascii="宋体" w:hAnsi="宋体" w:eastAsia="宋体"/>
                <w:sz w:val="22"/>
              </w:rPr>
              <w:t>5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  <w:p w14:paraId="17CC5059">
            <w:pPr>
              <w:jc w:val="both"/>
              <w:rPr>
                <w:rFonts w:ascii="宋体" w:hAnsi="宋体" w:eastAsia="宋体"/>
                <w:sz w:val="22"/>
              </w:rPr>
            </w:pPr>
          </w:p>
        </w:tc>
        <w:tc>
          <w:tcPr>
            <w:tcW w:w="5074" w:type="dxa"/>
          </w:tcPr>
          <w:p w14:paraId="2DAB3959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5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常温贮藏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</w:rPr>
              <w:t>4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常温贮藏，避光或遮光</w:t>
            </w:r>
          </w:p>
          <w:p w14:paraId="1CFDA4CF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阴凉贮藏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阴凉贮藏，避光或遮光</w:t>
            </w:r>
          </w:p>
          <w:p w14:paraId="5E3A23D8">
            <w:pPr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>冷藏/冷冻贮藏</w:t>
            </w:r>
          </w:p>
        </w:tc>
        <w:tc>
          <w:tcPr>
            <w:tcW w:w="851" w:type="dxa"/>
          </w:tcPr>
          <w:p w14:paraId="37868183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0CFE48EF">
            <w:pPr>
              <w:rPr>
                <w:rFonts w:ascii="宋体" w:hAnsi="宋体" w:eastAsia="宋体"/>
                <w:sz w:val="22"/>
              </w:rPr>
            </w:pPr>
          </w:p>
        </w:tc>
      </w:tr>
      <w:tr w14:paraId="6B43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18A00289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药品有效期</w:t>
            </w:r>
            <w:r>
              <w:rPr>
                <w:rFonts w:ascii="宋体" w:hAnsi="宋体" w:eastAsia="宋体"/>
                <w:sz w:val="22"/>
              </w:rPr>
              <w:t>(</w:t>
            </w: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分)</w:t>
            </w:r>
          </w:p>
        </w:tc>
        <w:tc>
          <w:tcPr>
            <w:tcW w:w="5074" w:type="dxa"/>
          </w:tcPr>
          <w:p w14:paraId="0DD56DC8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3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＞</w:t>
            </w:r>
            <w:r>
              <w:rPr>
                <w:rFonts w:ascii="宋体" w:hAnsi="宋体" w:eastAsia="宋体"/>
                <w:sz w:val="22"/>
              </w:rPr>
              <w:t>36个月</w:t>
            </w:r>
            <w:r>
              <w:rPr>
                <w:rFonts w:hint="eastAsia" w:ascii="宋体" w:hAnsi="宋体"/>
                <w:sz w:val="22"/>
              </w:rPr>
              <w:t xml:space="preserve">      </w:t>
            </w: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  24一36个月</w:t>
            </w:r>
          </w:p>
          <w:p w14:paraId="61F63EE3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1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＜</w:t>
            </w:r>
            <w:r>
              <w:rPr>
                <w:rFonts w:ascii="宋体" w:hAnsi="宋体" w:eastAsia="宋体"/>
                <w:sz w:val="22"/>
              </w:rPr>
              <w:t>24个月</w:t>
            </w:r>
          </w:p>
        </w:tc>
        <w:tc>
          <w:tcPr>
            <w:tcW w:w="851" w:type="dxa"/>
          </w:tcPr>
          <w:p w14:paraId="4979F1AA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23D1FF8C">
            <w:pPr>
              <w:rPr>
                <w:rFonts w:ascii="宋体" w:hAnsi="宋体" w:eastAsia="宋体"/>
                <w:sz w:val="22"/>
              </w:rPr>
            </w:pPr>
          </w:p>
        </w:tc>
      </w:tr>
      <w:tr w14:paraId="1B71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Align w:val="center"/>
          </w:tcPr>
          <w:p w14:paraId="28460F92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生产企业状况（2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>）</w:t>
            </w:r>
          </w:p>
        </w:tc>
        <w:tc>
          <w:tcPr>
            <w:tcW w:w="5074" w:type="dxa"/>
          </w:tcPr>
          <w:p w14:paraId="2F57E647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2</w:t>
            </w:r>
            <w:r>
              <w:rPr>
                <w:rFonts w:ascii="宋体" w:hAnsi="宋体" w:eastAsia="宋体"/>
                <w:sz w:val="22"/>
              </w:rPr>
              <w:t>分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2"/>
              </w:rPr>
              <w:t>生产企业为</w:t>
            </w:r>
            <w:r>
              <w:rPr>
                <w:rFonts w:hint="eastAsia" w:ascii="宋体" w:hAnsi="宋体" w:eastAsia="宋体"/>
                <w:sz w:val="22"/>
              </w:rPr>
              <w:t>全球制药企业50强</w:t>
            </w:r>
          </w:p>
          <w:p w14:paraId="39093CA4">
            <w:pPr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1分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 xml:space="preserve"> 生产企业为中国医药工业主营业务收入前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sz w:val="22"/>
              </w:rPr>
              <w:t>0位企业</w:t>
            </w:r>
          </w:p>
          <w:p w14:paraId="073B1842">
            <w:pPr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上限共计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2"/>
              </w:rPr>
              <w:t>分</w:t>
            </w:r>
          </w:p>
        </w:tc>
        <w:tc>
          <w:tcPr>
            <w:tcW w:w="851" w:type="dxa"/>
          </w:tcPr>
          <w:p w14:paraId="7E11B63B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332B461E">
            <w:pPr>
              <w:rPr>
                <w:rFonts w:ascii="宋体" w:hAnsi="宋体" w:eastAsia="宋体"/>
                <w:sz w:val="22"/>
              </w:rPr>
            </w:pPr>
          </w:p>
        </w:tc>
      </w:tr>
      <w:tr w14:paraId="2CD4F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4E338A3C">
            <w:pPr>
              <w:rPr>
                <w:rFonts w:ascii="宋体" w:hAnsi="宋体" w:eastAsia="宋体"/>
                <w:b/>
                <w:sz w:val="22"/>
              </w:rPr>
            </w:pPr>
            <w:r>
              <w:rPr>
                <w:rFonts w:ascii="宋体" w:hAnsi="宋体" w:eastAsia="宋体"/>
                <w:b/>
                <w:sz w:val="22"/>
              </w:rPr>
              <w:t>总分（</w:t>
            </w:r>
            <w:r>
              <w:rPr>
                <w:rFonts w:hint="eastAsia" w:ascii="宋体" w:hAnsi="宋体" w:eastAsia="宋体"/>
                <w:b/>
                <w:sz w:val="22"/>
              </w:rPr>
              <w:t>100）</w:t>
            </w:r>
          </w:p>
        </w:tc>
        <w:tc>
          <w:tcPr>
            <w:tcW w:w="5074" w:type="dxa"/>
          </w:tcPr>
          <w:p w14:paraId="73173304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851" w:type="dxa"/>
          </w:tcPr>
          <w:p w14:paraId="1F85BCB8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6AEF641B">
            <w:pPr>
              <w:rPr>
                <w:rFonts w:ascii="宋体" w:hAnsi="宋体" w:eastAsia="宋体"/>
                <w:sz w:val="22"/>
              </w:rPr>
            </w:pPr>
          </w:p>
        </w:tc>
      </w:tr>
      <w:tr w14:paraId="179E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Merge w:val="restart"/>
            <w:vAlign w:val="center"/>
          </w:tcPr>
          <w:p w14:paraId="6D16E1AF">
            <w:pPr>
              <w:jc w:val="both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一票否决</w:t>
            </w:r>
          </w:p>
        </w:tc>
        <w:tc>
          <w:tcPr>
            <w:tcW w:w="5074" w:type="dxa"/>
          </w:tcPr>
          <w:p w14:paraId="103FD473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申请表信息不真实</w:t>
            </w:r>
          </w:p>
        </w:tc>
        <w:tc>
          <w:tcPr>
            <w:tcW w:w="851" w:type="dxa"/>
          </w:tcPr>
          <w:p w14:paraId="6E68C477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6F0B136A">
            <w:pPr>
              <w:rPr>
                <w:rFonts w:ascii="宋体" w:hAnsi="宋体" w:eastAsia="宋体"/>
                <w:sz w:val="22"/>
              </w:rPr>
            </w:pPr>
          </w:p>
        </w:tc>
      </w:tr>
      <w:tr w14:paraId="37D3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vMerge w:val="continue"/>
          </w:tcPr>
          <w:p w14:paraId="14744D3E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5074" w:type="dxa"/>
          </w:tcPr>
          <w:p w14:paraId="005B121C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未挂网品种</w:t>
            </w:r>
          </w:p>
        </w:tc>
        <w:tc>
          <w:tcPr>
            <w:tcW w:w="851" w:type="dxa"/>
          </w:tcPr>
          <w:p w14:paraId="36AB5363">
            <w:pPr>
              <w:rPr>
                <w:rFonts w:ascii="宋体" w:hAnsi="宋体" w:eastAsia="宋体"/>
                <w:sz w:val="22"/>
              </w:rPr>
            </w:pPr>
          </w:p>
        </w:tc>
        <w:tc>
          <w:tcPr>
            <w:tcW w:w="737" w:type="dxa"/>
          </w:tcPr>
          <w:p w14:paraId="17A0A48C">
            <w:pPr>
              <w:rPr>
                <w:rFonts w:ascii="宋体" w:hAnsi="宋体" w:eastAsia="宋体"/>
                <w:sz w:val="22"/>
              </w:rPr>
            </w:pPr>
          </w:p>
        </w:tc>
      </w:tr>
    </w:tbl>
    <w:p w14:paraId="6DCB08C4">
      <w:pPr>
        <w:rPr>
          <w:rFonts w:ascii="黑体" w:hAnsi="黑体" w:eastAsia="黑体"/>
        </w:rPr>
      </w:pPr>
    </w:p>
    <w:sectPr>
      <w:pgSz w:w="11906" w:h="16838"/>
      <w:pgMar w:top="1134" w:right="1701" w:bottom="113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c4ZDNjODllY2I3YjIyNjNjNDgzMzAyOGE1YTM3ZGYifQ=="/>
  </w:docVars>
  <w:rsids>
    <w:rsidRoot w:val="00E63DDF"/>
    <w:rsid w:val="00073105"/>
    <w:rsid w:val="000F0D81"/>
    <w:rsid w:val="00167CD5"/>
    <w:rsid w:val="00237F8F"/>
    <w:rsid w:val="00254ED6"/>
    <w:rsid w:val="0027557C"/>
    <w:rsid w:val="0027583C"/>
    <w:rsid w:val="003069FA"/>
    <w:rsid w:val="003168C7"/>
    <w:rsid w:val="003264F0"/>
    <w:rsid w:val="00333088"/>
    <w:rsid w:val="00341452"/>
    <w:rsid w:val="00346B8C"/>
    <w:rsid w:val="003560E0"/>
    <w:rsid w:val="00372B9A"/>
    <w:rsid w:val="00375B4C"/>
    <w:rsid w:val="003B0E81"/>
    <w:rsid w:val="004317EC"/>
    <w:rsid w:val="00475D44"/>
    <w:rsid w:val="004D4F88"/>
    <w:rsid w:val="004E7EE0"/>
    <w:rsid w:val="004F5610"/>
    <w:rsid w:val="005A7234"/>
    <w:rsid w:val="005B5692"/>
    <w:rsid w:val="005D1F09"/>
    <w:rsid w:val="006452EF"/>
    <w:rsid w:val="00645311"/>
    <w:rsid w:val="00667B53"/>
    <w:rsid w:val="00670C19"/>
    <w:rsid w:val="00693659"/>
    <w:rsid w:val="006A70A8"/>
    <w:rsid w:val="00715B5B"/>
    <w:rsid w:val="0072709B"/>
    <w:rsid w:val="00782F8A"/>
    <w:rsid w:val="007B5305"/>
    <w:rsid w:val="007D741B"/>
    <w:rsid w:val="008118D0"/>
    <w:rsid w:val="00865109"/>
    <w:rsid w:val="0088626A"/>
    <w:rsid w:val="008F3887"/>
    <w:rsid w:val="00944554"/>
    <w:rsid w:val="00947DD7"/>
    <w:rsid w:val="00971A70"/>
    <w:rsid w:val="009D0C9D"/>
    <w:rsid w:val="009E1312"/>
    <w:rsid w:val="009F43B8"/>
    <w:rsid w:val="00A05494"/>
    <w:rsid w:val="00A27752"/>
    <w:rsid w:val="00A46B24"/>
    <w:rsid w:val="00A52445"/>
    <w:rsid w:val="00AE6821"/>
    <w:rsid w:val="00B03F94"/>
    <w:rsid w:val="00B34F93"/>
    <w:rsid w:val="00B82451"/>
    <w:rsid w:val="00BB3C13"/>
    <w:rsid w:val="00C84E3B"/>
    <w:rsid w:val="00C939B8"/>
    <w:rsid w:val="00CF233E"/>
    <w:rsid w:val="00CF7092"/>
    <w:rsid w:val="00D23095"/>
    <w:rsid w:val="00D44F90"/>
    <w:rsid w:val="00D75216"/>
    <w:rsid w:val="00E06B72"/>
    <w:rsid w:val="00E225C4"/>
    <w:rsid w:val="00E3718C"/>
    <w:rsid w:val="00E54707"/>
    <w:rsid w:val="00E63DDF"/>
    <w:rsid w:val="00EB2956"/>
    <w:rsid w:val="00EC001C"/>
    <w:rsid w:val="00ED30BF"/>
    <w:rsid w:val="00ED3290"/>
    <w:rsid w:val="00EF0303"/>
    <w:rsid w:val="00F017A0"/>
    <w:rsid w:val="00F327C5"/>
    <w:rsid w:val="00F35F5C"/>
    <w:rsid w:val="00F42592"/>
    <w:rsid w:val="00FA3DEE"/>
    <w:rsid w:val="00FC683E"/>
    <w:rsid w:val="00FD5290"/>
    <w:rsid w:val="00FD6B30"/>
    <w:rsid w:val="00FE1506"/>
    <w:rsid w:val="0119677B"/>
    <w:rsid w:val="02840E7C"/>
    <w:rsid w:val="05A30D0A"/>
    <w:rsid w:val="0A1D7720"/>
    <w:rsid w:val="0A442078"/>
    <w:rsid w:val="0D9A50E8"/>
    <w:rsid w:val="154222ED"/>
    <w:rsid w:val="17D91989"/>
    <w:rsid w:val="181B2B48"/>
    <w:rsid w:val="1C321E98"/>
    <w:rsid w:val="1FBA5960"/>
    <w:rsid w:val="20566C4C"/>
    <w:rsid w:val="213A2F75"/>
    <w:rsid w:val="29477F0D"/>
    <w:rsid w:val="2B8D6D49"/>
    <w:rsid w:val="2CD27DFA"/>
    <w:rsid w:val="30E10463"/>
    <w:rsid w:val="3A2A7160"/>
    <w:rsid w:val="3BD634C1"/>
    <w:rsid w:val="3CF21CBD"/>
    <w:rsid w:val="41DD2F7F"/>
    <w:rsid w:val="4B350827"/>
    <w:rsid w:val="4D4C674B"/>
    <w:rsid w:val="4EFD15A0"/>
    <w:rsid w:val="50F70D9C"/>
    <w:rsid w:val="5B921B66"/>
    <w:rsid w:val="5CEB6393"/>
    <w:rsid w:val="5E937A83"/>
    <w:rsid w:val="68DE38F9"/>
    <w:rsid w:val="76A002D2"/>
    <w:rsid w:val="7D7246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3 Char"/>
    <w:basedOn w:val="9"/>
    <w:link w:val="4"/>
    <w:qFormat/>
    <w:uiPriority w:val="9"/>
    <w:rPr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554</Words>
  <Characters>595</Characters>
  <Lines>5</Lines>
  <Paragraphs>1</Paragraphs>
  <TotalTime>0</TotalTime>
  <ScaleCrop>false</ScaleCrop>
  <LinksUpToDate>false</LinksUpToDate>
  <CharactersWithSpaces>674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2022-04-26T08:53:00Z</dcterms:created>
  <dc:creator>娟 黄</dc:creator>
  <cp:lastModifiedBy>全全</cp:lastModifiedBy>
  <cp:lastPrinted>2026-01-15T02:01:00Z</cp:lastPrinted>
  <dcterms:modified xsi:type="dcterms:W3CDTF">2026-07-23T09:29:11Z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2C914CDD354747CDA3496F4F607EF0A8</vt:lpwstr>
  </property>
  <property fmtid="{D5CDD505-2E9C-101B-9397-08002B2CF9AE}" pid="4" name="KSOTemplateDocerSaveRecord">
    <vt:lpwstr>eyJoZGlkIjoiYmNjMjEwMDVjNzhkZGQzMGQ3ZmFmYTEzZDk1Mzc4YTQiLCJ1c2VySWQiOiIzMTQwNzg3NTQifQ==</vt:lpwstr>
  </property>
</Properties>
</file>