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BFB3C">
      <w:pPr>
        <w:pStyle w:val="2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360" w:lineRule="auto"/>
        <w:ind w:left="0"/>
        <w:jc w:val="left"/>
        <w:textAlignment w:val="baseline"/>
        <w:rPr>
          <w:rFonts w:hint="eastAsia" w:ascii="宋体" w:hAnsi="宋体" w:eastAsia="宋体"/>
          <w:sz w:val="40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附件6：</w:t>
      </w:r>
      <w:bookmarkStart w:id="0" w:name="_GoBack"/>
      <w:bookmarkEnd w:id="0"/>
    </w:p>
    <w:p w14:paraId="29DAFA58">
      <w:pPr>
        <w:pStyle w:val="2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360" w:lineRule="auto"/>
        <w:ind w:left="0"/>
        <w:jc w:val="center"/>
        <w:textAlignment w:val="baseline"/>
        <w:rPr>
          <w:rFonts w:ascii="宋体" w:hAnsi="宋体" w:eastAsia="宋体"/>
          <w:sz w:val="40"/>
        </w:rPr>
      </w:pPr>
      <w:r>
        <w:rPr>
          <w:rFonts w:hint="eastAsia" w:ascii="宋体" w:hAnsi="宋体" w:eastAsia="宋体"/>
          <w:sz w:val="40"/>
        </w:rPr>
        <w:t>垫江县中医院</w:t>
      </w:r>
      <w:r>
        <w:rPr>
          <w:rFonts w:ascii="宋体" w:hAnsi="宋体" w:eastAsia="宋体"/>
          <w:sz w:val="40"/>
        </w:rPr>
        <w:t>药品</w:t>
      </w:r>
      <w:r>
        <w:rPr>
          <w:rFonts w:hint="eastAsia" w:ascii="宋体" w:hAnsi="宋体" w:eastAsia="宋体"/>
          <w:sz w:val="40"/>
          <w:lang w:eastAsia="zh-CN"/>
        </w:rPr>
        <w:t>厂家</w:t>
      </w:r>
      <w:r>
        <w:rPr>
          <w:rFonts w:ascii="宋体" w:hAnsi="宋体" w:eastAsia="宋体"/>
          <w:sz w:val="40"/>
        </w:rPr>
        <w:t>遴选量化</w:t>
      </w:r>
      <w:r>
        <w:rPr>
          <w:rFonts w:hint="eastAsia" w:ascii="宋体" w:hAnsi="宋体" w:eastAsia="宋体"/>
          <w:sz w:val="40"/>
        </w:rPr>
        <w:t>评分</w:t>
      </w:r>
      <w:r>
        <w:rPr>
          <w:rFonts w:ascii="宋体" w:hAnsi="宋体" w:eastAsia="宋体"/>
          <w:sz w:val="40"/>
        </w:rPr>
        <w:t>表</w:t>
      </w:r>
    </w:p>
    <w:p w14:paraId="31969CF7">
      <w:pPr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095" w:firstLineChars="1200"/>
        <w:textAlignment w:val="baseline"/>
      </w:pPr>
      <w:r>
        <w:rPr>
          <w:rFonts w:ascii="宋体" w:hAnsi="宋体" w:eastAsia="宋体" w:cs="宋体"/>
          <w:b/>
          <w:bCs/>
          <w:spacing w:val="10"/>
          <w:sz w:val="32"/>
          <w:szCs w:val="32"/>
        </w:rPr>
        <w:t>(填表说明)</w:t>
      </w:r>
    </w:p>
    <w:p w14:paraId="6717D110">
      <w:pPr>
        <w:spacing w:line="95" w:lineRule="exact"/>
      </w:pPr>
    </w:p>
    <w:tbl>
      <w:tblPr>
        <w:tblStyle w:val="8"/>
        <w:tblW w:w="95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139"/>
        <w:gridCol w:w="6838"/>
      </w:tblGrid>
      <w:tr w14:paraId="44184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540" w:type="dxa"/>
            <w:gridSpan w:val="3"/>
            <w:vAlign w:val="top"/>
          </w:tcPr>
          <w:p w14:paraId="530392AC">
            <w:pPr>
              <w:spacing w:before="53" w:line="219" w:lineRule="auto"/>
              <w:ind w:left="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一、药学特性(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0)</w:t>
            </w:r>
          </w:p>
        </w:tc>
      </w:tr>
      <w:tr w14:paraId="267D4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restart"/>
            <w:vAlign w:val="center"/>
          </w:tcPr>
          <w:p w14:paraId="70A82BD3">
            <w:pPr>
              <w:spacing w:before="87" w:line="256" w:lineRule="auto"/>
              <w:ind w:left="55" w:right="122" w:firstLine="8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药剂学与使用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方法(6分)</w:t>
            </w:r>
          </w:p>
        </w:tc>
        <w:tc>
          <w:tcPr>
            <w:tcW w:w="1139" w:type="dxa"/>
            <w:vAlign w:val="top"/>
          </w:tcPr>
          <w:p w14:paraId="219CE796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740602AE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考察待遴选药品主要成分、辅料及药物剂型在临床治疗使用的适宜性及 优劣势，考察其给药剂量、给药频次及使用方法是否具有临床优势，是否便于临床使用。</w:t>
            </w:r>
          </w:p>
        </w:tc>
      </w:tr>
      <w:tr w14:paraId="332F9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4B5D216E">
            <w:pPr>
              <w:spacing w:before="87" w:line="256" w:lineRule="auto"/>
              <w:ind w:left="55" w:right="122" w:firstLine="89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48D9AAA3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资料来源</w:t>
            </w:r>
          </w:p>
        </w:tc>
        <w:tc>
          <w:tcPr>
            <w:tcW w:w="6838" w:type="dxa"/>
            <w:vAlign w:val="top"/>
          </w:tcPr>
          <w:p w14:paraId="209DE3C4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药品说明书，药品注册资料，权威出版物中华人民共和国药典》《马丁代尔药物大典》《新编药物学》《生物药剂学》,英文文献数据库：PubMed、 Embase,中文文献数据库：CBM、CNKI、VIP、万方数据库，DRUGS数据库， Micromedex数据库，Update数据库。</w:t>
            </w:r>
          </w:p>
        </w:tc>
      </w:tr>
      <w:tr w14:paraId="43663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64CF6575">
            <w:pPr>
              <w:spacing w:before="87" w:line="256" w:lineRule="auto"/>
              <w:ind w:left="55" w:right="122" w:firstLine="89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DD24946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center"/>
          </w:tcPr>
          <w:p w14:paraId="110AA361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此项为多选项。考察待遴选药品主要成分、辅料、剂型、给药剂量、 给药频次及使用方法等是否与临床应用相适宜，是否具有临床优势。</w:t>
            </w:r>
          </w:p>
          <w:p w14:paraId="22A8D4CE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通过查阅药品说明书、检索文献，分析待遴选药物的主要成分与辅料，了解其存在的临床获益与风险，通过与临床可替代的药品进行比较，判断待遴选药品组成成分与剂型是否具有临床治疗优势。根据待遴选药品成分、辅料的明确性以及剂型在临床治疗中的优劣势，评估其满足临床治疗的需求程度。充分了解待遴选药品的使用方法和注意事项，确定待遴选药品的给药方式、给药频次是否具有特殊优势，是否可改善患者或医务人员的依从性。考察待遴选药品使用方法的难易程度，用药是否需要特殊培训、是否需要他人帮助、是否需要进行皮肤变态反应试验等。</w:t>
            </w:r>
          </w:p>
          <w:p w14:paraId="2EA7A48C">
            <w:pPr>
              <w:spacing w:before="72" w:line="218" w:lineRule="auto"/>
              <w:ind w:left="101" w:leftChars="0"/>
              <w:rPr>
                <w:rFonts w:hint="default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根据待遴选药品剂型、给药剂量、使用频次、依从性或使用方法是否有特殊要求进行评分。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具体评分如下：</w:t>
            </w:r>
          </w:p>
          <w:p w14:paraId="21605C7C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主要成分及辅料明确</w:t>
            </w:r>
            <w:r>
              <w:rPr>
                <w:rFonts w:hint="eastAsia" w:ascii="宋体" w:hAnsi="宋体"/>
                <w:sz w:val="22"/>
              </w:rPr>
              <w:t xml:space="preserve">     </w:t>
            </w:r>
            <w:r>
              <w:rPr>
                <w:rFonts w:ascii="宋体" w:hAnsi="宋体" w:eastAsia="宋体"/>
                <w:sz w:val="22"/>
              </w:rPr>
              <w:t>2分</w:t>
            </w:r>
            <w:r>
              <w:rPr>
                <w:rFonts w:hint="eastAsia" w:ascii="宋体" w:hAnsi="宋体" w:eastAsia="宋体"/>
                <w:sz w:val="22"/>
              </w:rPr>
              <w:t xml:space="preserve"> 剂</w:t>
            </w:r>
            <w:r>
              <w:rPr>
                <w:rFonts w:ascii="宋体" w:hAnsi="宋体" w:eastAsia="宋体"/>
                <w:sz w:val="22"/>
              </w:rPr>
              <w:t>型适宜</w:t>
            </w:r>
          </w:p>
          <w:p w14:paraId="3489C0EA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给药剂量</w:t>
            </w:r>
            <w:r>
              <w:rPr>
                <w:rFonts w:hint="eastAsia" w:ascii="宋体" w:hAnsi="宋体" w:eastAsia="宋体"/>
                <w:sz w:val="22"/>
              </w:rPr>
              <w:t>方便</w:t>
            </w:r>
            <w:r>
              <w:rPr>
                <w:rFonts w:hint="eastAsia" w:ascii="宋体" w:hAnsi="宋体"/>
                <w:sz w:val="22"/>
              </w:rPr>
              <w:t xml:space="preserve">           </w:t>
            </w: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给药频次适宜</w:t>
            </w:r>
          </w:p>
          <w:p w14:paraId="218A5367">
            <w:pPr>
              <w:spacing w:before="72" w:line="218" w:lineRule="auto"/>
              <w:ind w:firstLine="440" w:firstLineChars="20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使用方便</w:t>
            </w:r>
          </w:p>
        </w:tc>
      </w:tr>
      <w:tr w14:paraId="2CEEE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563" w:type="dxa"/>
            <w:vMerge w:val="restart"/>
            <w:vAlign w:val="top"/>
          </w:tcPr>
          <w:p w14:paraId="447A4D12">
            <w:pPr>
              <w:spacing w:line="359" w:lineRule="auto"/>
              <w:rPr>
                <w:rFonts w:ascii="Arial"/>
                <w:sz w:val="21"/>
              </w:rPr>
            </w:pPr>
          </w:p>
          <w:p w14:paraId="0B890D9D">
            <w:pPr>
              <w:spacing w:line="359" w:lineRule="auto"/>
              <w:rPr>
                <w:rFonts w:ascii="Arial"/>
                <w:sz w:val="21"/>
              </w:rPr>
            </w:pPr>
          </w:p>
          <w:p w14:paraId="4EB420EF">
            <w:pPr>
              <w:spacing w:before="68" w:line="218" w:lineRule="auto"/>
              <w:ind w:left="2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一致性评价</w:t>
            </w:r>
          </w:p>
          <w:p w14:paraId="20C48F71">
            <w:pPr>
              <w:spacing w:before="134" w:line="220" w:lineRule="auto"/>
              <w:ind w:left="505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分)</w:t>
            </w:r>
          </w:p>
        </w:tc>
        <w:tc>
          <w:tcPr>
            <w:tcW w:w="1139" w:type="dxa"/>
            <w:vAlign w:val="top"/>
          </w:tcPr>
          <w:p w14:paraId="5C58DDE5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0D9364A1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考察待遴选药品是否为原研药品/参比制剂、通过一致性评价仿制药品或其他药品。</w:t>
            </w:r>
          </w:p>
        </w:tc>
      </w:tr>
      <w:tr w14:paraId="16CE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563" w:type="dxa"/>
            <w:vMerge w:val="continue"/>
            <w:vAlign w:val="top"/>
          </w:tcPr>
          <w:p w14:paraId="1046B05E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9819A8D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资料来源</w:t>
            </w:r>
          </w:p>
        </w:tc>
        <w:tc>
          <w:tcPr>
            <w:tcW w:w="6838" w:type="dxa"/>
            <w:vAlign w:val="top"/>
          </w:tcPr>
          <w:p w14:paraId="01200ACE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药品包装/说明书，中国上市药品目录集，NMPA、国家药品监督管理局 药品评审中心政府网站公示公告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重庆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药交所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。</w:t>
            </w:r>
          </w:p>
        </w:tc>
      </w:tr>
      <w:tr w14:paraId="0735F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76C1AD7D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550EF70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5B68EFA8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根据待遴选药品是原研药品/参比制剂、通过一致性评价仿制药品或其他药品进行评分。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具体评分如下：</w:t>
            </w:r>
          </w:p>
          <w:p w14:paraId="38447A1D">
            <w:pPr>
              <w:spacing w:before="72" w:line="218" w:lineRule="auto"/>
              <w:ind w:left="101" w:leftChars="0"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4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原研药品/参比药品</w:t>
            </w:r>
          </w:p>
          <w:p w14:paraId="2AE75C95">
            <w:pPr>
              <w:spacing w:before="72" w:line="218" w:lineRule="auto"/>
              <w:ind w:left="101" w:leftChars="0" w:firstLine="440" w:firstLineChars="200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通过一致性评价的仿制药品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含等同通过一致性评价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）</w:t>
            </w:r>
          </w:p>
        </w:tc>
      </w:tr>
      <w:tr w14:paraId="5955E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540" w:type="dxa"/>
            <w:gridSpan w:val="3"/>
            <w:vAlign w:val="top"/>
          </w:tcPr>
          <w:p w14:paraId="70C8CC6E">
            <w:pPr>
              <w:spacing w:line="220" w:lineRule="auto"/>
              <w:ind w:left="82" w:leftChars="0"/>
              <w:rPr>
                <w:rFonts w:ascii="宋体" w:hAnsi="宋体" w:eastAsia="宋体" w:cs="宋体"/>
                <w:spacing w:val="1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eastAsia="zh-CN"/>
              </w:rPr>
              <w:t>二</w:t>
            </w: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、安全性(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0分)</w:t>
            </w:r>
          </w:p>
        </w:tc>
      </w:tr>
      <w:tr w14:paraId="0B0D7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3" w:type="dxa"/>
            <w:vMerge w:val="restart"/>
            <w:vAlign w:val="center"/>
          </w:tcPr>
          <w:p w14:paraId="04650731">
            <w:pPr>
              <w:spacing w:before="69" w:line="350" w:lineRule="exact"/>
              <w:jc w:val="center"/>
              <w:rPr>
                <w:rFonts w:ascii="宋体" w:hAnsi="宋体" w:eastAsia="宋体" w:cs="宋体"/>
                <w:spacing w:val="-2"/>
                <w:position w:val="1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position w:val="10"/>
                <w:sz w:val="21"/>
                <w:szCs w:val="21"/>
              </w:rPr>
              <w:t>特殊人群</w:t>
            </w:r>
          </w:p>
          <w:p w14:paraId="0548F0E1">
            <w:pPr>
              <w:spacing w:before="69" w:line="350" w:lineRule="exact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position w:val="10"/>
                <w:sz w:val="21"/>
                <w:szCs w:val="21"/>
                <w:lang w:val="en-US" w:eastAsia="zh-CN"/>
              </w:rPr>
              <w:t>20分</w:t>
            </w:r>
            <w:r>
              <w:rPr>
                <w:rFonts w:hint="eastAsia" w:ascii="宋体" w:hAnsi="宋体" w:eastAsia="宋体" w:cs="宋体"/>
                <w:spacing w:val="-2"/>
                <w:position w:val="1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39" w:type="dxa"/>
            <w:vAlign w:val="top"/>
          </w:tcPr>
          <w:p w14:paraId="6BE6244B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606FC1FC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通过考察待遴选药品在特殊人群(儿童、老人、孕妇、哺乳期妇女、肝 功能异常患者和肾功能异常患者)中的使用情况，评价药品安全性。</w:t>
            </w:r>
          </w:p>
        </w:tc>
      </w:tr>
      <w:tr w14:paraId="62446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69355620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AA23F26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资料来源</w:t>
            </w:r>
          </w:p>
        </w:tc>
        <w:tc>
          <w:tcPr>
            <w:tcW w:w="6838" w:type="dxa"/>
            <w:vAlign w:val="top"/>
          </w:tcPr>
          <w:p w14:paraId="782CC4A5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药品说明书，药品注册资料，英文文献数据库：PubMed、The Cochrane Library、Embase,中文文献数据库：CBM、CNKI、VIP、万方数据库， DRUGS数据库，Micromedex数据库，Update数据库，FDA、NMPA等 政府网站信息发布的安全性信息。</w:t>
            </w:r>
          </w:p>
        </w:tc>
      </w:tr>
      <w:tr w14:paraId="6E7C3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63" w:type="dxa"/>
            <w:vMerge w:val="continue"/>
            <w:vAlign w:val="top"/>
          </w:tcPr>
          <w:p w14:paraId="2FA1E650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88767B2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3D28393A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此项为多选项，重点考察儿童、老人、孕妇、哺乳期如女、肝功能异常 和肾功能异常6类特殊人群。考虑到儿童患者的特殊性，故儿童患者中 的使用情况得分权重更高。评分时参考药品说明书中不良反应、药物 禁忌、特殊人群用药及注意事项等相关内容。若说明书中表达不明确或 查无此项，则可参考权威临床指南、临床研究等相关权威专业资料，判 断是否可用于相关特殊人样。综合检索资料，根据待遴选药品可用于相</w:t>
            </w:r>
          </w:p>
          <w:p w14:paraId="0049428D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应特殊人样进行评分，无相关资料不得分。</w:t>
            </w:r>
          </w:p>
          <w:p w14:paraId="48F22F5F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特殊人群相关项目若描述为慎用者，可得一半的分数。</w:t>
            </w:r>
          </w:p>
          <w:p w14:paraId="4D81FA53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描述为儿童慎用的，按照6-12岁项目计算一半分数，即1分。</w:t>
            </w:r>
          </w:p>
          <w:p w14:paraId="05B27239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具体评分如下（以说明书为准）：</w:t>
            </w:r>
          </w:p>
          <w:p w14:paraId="21F6FA7C">
            <w:pPr>
              <w:ind w:firstLine="440" w:firstLineChars="20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2岁以下儿童</w:t>
            </w:r>
            <w:r>
              <w:rPr>
                <w:rFonts w:ascii="宋体" w:hAnsi="宋体" w:eastAsia="宋体"/>
                <w:sz w:val="22"/>
              </w:rPr>
              <w:t>可用</w:t>
            </w:r>
            <w:r>
              <w:rPr>
                <w:rFonts w:hint="eastAsia" w:ascii="宋体" w:hAnsi="宋体"/>
                <w:sz w:val="22"/>
              </w:rPr>
              <w:t xml:space="preserve">    </w:t>
            </w: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2-</w:t>
            </w:r>
            <w:r>
              <w:rPr>
                <w:rFonts w:hint="eastAsia" w:ascii="宋体" w:hAnsi="宋体" w:eastAsia="宋体"/>
                <w:sz w:val="22"/>
              </w:rPr>
              <w:t>6岁儿童</w:t>
            </w:r>
            <w:r>
              <w:rPr>
                <w:rFonts w:ascii="宋体" w:hAnsi="宋体" w:eastAsia="宋体"/>
                <w:sz w:val="22"/>
              </w:rPr>
              <w:t>可用</w:t>
            </w:r>
          </w:p>
          <w:p w14:paraId="2ED7DB7E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6-</w:t>
            </w:r>
            <w:r>
              <w:rPr>
                <w:rFonts w:hint="eastAsia" w:ascii="宋体" w:hAnsi="宋体" w:eastAsia="宋体"/>
                <w:sz w:val="22"/>
              </w:rPr>
              <w:t>12岁儿童</w:t>
            </w:r>
            <w:r>
              <w:rPr>
                <w:rFonts w:ascii="宋体" w:hAnsi="宋体" w:eastAsia="宋体"/>
                <w:sz w:val="22"/>
              </w:rPr>
              <w:t>可用</w:t>
            </w:r>
            <w:r>
              <w:rPr>
                <w:rFonts w:hint="eastAsia" w:ascii="宋体" w:hAnsi="宋体"/>
                <w:sz w:val="22"/>
              </w:rPr>
              <w:t xml:space="preserve"> 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2"/>
              </w:rPr>
              <w:t>0岁以上</w:t>
            </w:r>
            <w:r>
              <w:rPr>
                <w:rFonts w:ascii="宋体" w:hAnsi="宋体" w:eastAsia="宋体"/>
                <w:sz w:val="22"/>
              </w:rPr>
              <w:t>可用</w:t>
            </w:r>
          </w:p>
          <w:p w14:paraId="170A8B2D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孕妇</w:t>
            </w:r>
            <w:r>
              <w:rPr>
                <w:rFonts w:hint="eastAsia" w:ascii="宋体" w:hAnsi="宋体" w:eastAsia="宋体"/>
                <w:sz w:val="22"/>
              </w:rPr>
              <w:t>、</w:t>
            </w:r>
            <w:r>
              <w:rPr>
                <w:rFonts w:ascii="宋体" w:hAnsi="宋体" w:eastAsia="宋体"/>
                <w:sz w:val="22"/>
              </w:rPr>
              <w:t>哺乳期妇女可用</w:t>
            </w:r>
          </w:p>
          <w:p w14:paraId="2D47ADB7">
            <w:pPr>
              <w:ind w:firstLine="440" w:firstLineChars="20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肝功能异常可用</w:t>
            </w:r>
            <w:r>
              <w:rPr>
                <w:rFonts w:hint="eastAsia" w:ascii="宋体" w:hAnsi="宋体"/>
                <w:sz w:val="22"/>
              </w:rPr>
              <w:t xml:space="preserve">     </w:t>
            </w: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肾功能异常可用</w:t>
            </w:r>
          </w:p>
        </w:tc>
      </w:tr>
      <w:tr w14:paraId="68723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540" w:type="dxa"/>
            <w:gridSpan w:val="3"/>
            <w:vAlign w:val="top"/>
          </w:tcPr>
          <w:p w14:paraId="4D6655D3">
            <w:pPr>
              <w:spacing w:line="219" w:lineRule="auto"/>
              <w:ind w:left="84" w:leftChars="0"/>
              <w:rPr>
                <w:rFonts w:ascii="宋体" w:hAnsi="宋体" w:eastAsia="宋体" w:cs="宋体"/>
                <w:spacing w:val="5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三、经济性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30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/>
                <w:b/>
                <w:sz w:val="22"/>
              </w:rPr>
              <w:t>)</w:t>
            </w:r>
          </w:p>
        </w:tc>
      </w:tr>
      <w:tr w14:paraId="5FBD9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563" w:type="dxa"/>
            <w:vMerge w:val="restart"/>
            <w:vAlign w:val="center"/>
          </w:tcPr>
          <w:p w14:paraId="7E4360A4">
            <w:pPr>
              <w:jc w:val="center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/>
                <w:sz w:val="22"/>
              </w:rPr>
              <w:t>同通用名药品(</w:t>
            </w:r>
            <w:r>
              <w:rPr>
                <w:rFonts w:hint="eastAsia" w:ascii="宋体" w:hAnsi="宋体" w:eastAsia="宋体"/>
                <w:sz w:val="22"/>
              </w:rPr>
              <w:t>30</w:t>
            </w:r>
            <w:r>
              <w:rPr>
                <w:rFonts w:ascii="宋体" w:hAnsi="宋体" w:eastAsia="宋体"/>
                <w:sz w:val="22"/>
              </w:rPr>
              <w:t>分)</w:t>
            </w:r>
          </w:p>
        </w:tc>
        <w:tc>
          <w:tcPr>
            <w:tcW w:w="1139" w:type="dxa"/>
            <w:vAlign w:val="top"/>
          </w:tcPr>
          <w:p w14:paraId="78406A31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1EE56DDF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通过比较待遴选药品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各厂家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的日均治疗费用，评价药品经济性。</w:t>
            </w:r>
          </w:p>
        </w:tc>
      </w:tr>
      <w:tr w14:paraId="7CAE9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563" w:type="dxa"/>
            <w:vMerge w:val="continue"/>
            <w:vAlign w:val="top"/>
          </w:tcPr>
          <w:p w14:paraId="0EFAFE20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B5692B6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来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源</w:t>
            </w:r>
          </w:p>
        </w:tc>
        <w:tc>
          <w:tcPr>
            <w:tcW w:w="6838" w:type="dxa"/>
            <w:vAlign w:val="top"/>
          </w:tcPr>
          <w:p w14:paraId="0292C639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重庆药品交易所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发布的药品价格信息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含二次议价函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）。</w:t>
            </w:r>
          </w:p>
        </w:tc>
      </w:tr>
      <w:tr w14:paraId="41301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323AAC03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24467DD4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6F523DFF">
            <w:pPr>
              <w:spacing w:before="72" w:line="218" w:lineRule="auto"/>
              <w:ind w:left="101" w:leftChars="0"/>
              <w:rPr>
                <w:rFonts w:hint="default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考察待遴选药物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各厂家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日均治疗费用的差异。汇总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重庆药品交易所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平台上待遴选药品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各厂家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的价格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含二次议价函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，计算日均治疗费用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并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排序，根据日均治疗费用的高低水平分别评分。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具体评分如下：</w:t>
            </w:r>
          </w:p>
          <w:p w14:paraId="7A6CEECA">
            <w:pPr>
              <w:spacing w:before="72" w:line="218" w:lineRule="auto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以日均治疗费用最低的为满分，日均治疗费用每增加1个百分点扣除0.2分，扣完为止。</w:t>
            </w:r>
          </w:p>
        </w:tc>
      </w:tr>
      <w:tr w14:paraId="1CCF3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540" w:type="dxa"/>
            <w:gridSpan w:val="3"/>
            <w:vAlign w:val="top"/>
          </w:tcPr>
          <w:p w14:paraId="58022210">
            <w:pPr>
              <w:spacing w:line="218" w:lineRule="auto"/>
              <w:ind w:left="104" w:leftChars="0"/>
              <w:rPr>
                <w:rFonts w:ascii="宋体" w:hAnsi="宋体" w:eastAsia="宋体" w:cs="宋体"/>
                <w:spacing w:val="21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四、可及性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30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/>
                <w:b/>
                <w:sz w:val="22"/>
              </w:rPr>
              <w:t>)</w:t>
            </w:r>
          </w:p>
        </w:tc>
      </w:tr>
      <w:tr w14:paraId="2FB12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563" w:type="dxa"/>
            <w:vMerge w:val="restart"/>
            <w:vAlign w:val="center"/>
          </w:tcPr>
          <w:p w14:paraId="6AA37E07">
            <w:pPr>
              <w:jc w:val="center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2"/>
              </w:rPr>
              <w:t>重庆市内销售情况（30分）</w:t>
            </w:r>
          </w:p>
        </w:tc>
        <w:tc>
          <w:tcPr>
            <w:tcW w:w="1139" w:type="dxa"/>
            <w:vAlign w:val="top"/>
          </w:tcPr>
          <w:p w14:paraId="7A65109C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428B3A5F">
            <w:pPr>
              <w:spacing w:line="218" w:lineRule="auto"/>
              <w:ind w:left="104" w:leftChars="0"/>
              <w:rPr>
                <w:rFonts w:hint="eastAsia" w:ascii="宋体" w:hAnsi="宋体" w:eastAsia="宋体" w:cs="宋体"/>
                <w:spacing w:val="2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1"/>
                <w:sz w:val="21"/>
                <w:szCs w:val="21"/>
                <w:lang w:eastAsia="zh-CN"/>
              </w:rPr>
              <w:t>通过计算待遴选药品在重庆市内各医疗机构使用情况，评价药品可及性。</w:t>
            </w:r>
          </w:p>
        </w:tc>
      </w:tr>
      <w:tr w14:paraId="5DA0E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563" w:type="dxa"/>
            <w:vMerge w:val="continue"/>
            <w:vAlign w:val="top"/>
          </w:tcPr>
          <w:p w14:paraId="2B2591C1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6D73E885">
            <w:pPr>
              <w:spacing w:before="75" w:line="219" w:lineRule="auto"/>
              <w:ind w:left="101" w:leftChars="0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资料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来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源</w:t>
            </w:r>
          </w:p>
        </w:tc>
        <w:tc>
          <w:tcPr>
            <w:tcW w:w="6838" w:type="dxa"/>
            <w:vAlign w:val="top"/>
          </w:tcPr>
          <w:p w14:paraId="16A745A8">
            <w:pPr>
              <w:spacing w:line="218" w:lineRule="auto"/>
              <w:ind w:left="104" w:leftChars="0"/>
              <w:rPr>
                <w:rFonts w:hint="eastAsia" w:ascii="宋体" w:hAnsi="宋体" w:eastAsia="宋体" w:cs="宋体"/>
                <w:spacing w:val="2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药品生产企业提供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近3月内，供应的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重庆市内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委属医院（含陆军军医大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各医院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和区县级三级医院在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重庆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药交所平台的交易截图。</w:t>
            </w:r>
          </w:p>
        </w:tc>
      </w:tr>
      <w:tr w14:paraId="688AE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2BDFC663">
            <w:pPr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</w:tc>
        <w:tc>
          <w:tcPr>
            <w:tcW w:w="1139" w:type="dxa"/>
            <w:vAlign w:val="top"/>
          </w:tcPr>
          <w:p w14:paraId="3D3CF588">
            <w:pPr>
              <w:spacing w:before="64" w:line="218" w:lineRule="auto"/>
              <w:ind w:left="101" w:leftChars="0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723BD850">
            <w:pPr>
              <w:spacing w:line="218" w:lineRule="auto"/>
              <w:ind w:left="104" w:leftChars="0"/>
              <w:rPr>
                <w:rFonts w:ascii="宋体" w:hAnsi="宋体" w:eastAsia="宋体" w:cs="宋体"/>
                <w:spacing w:val="21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2"/>
              </w:rPr>
              <w:t>近3月内，供应的委属医院（含陆军军医大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各医院</w:t>
            </w:r>
            <w:r>
              <w:rPr>
                <w:rFonts w:hint="eastAsia" w:ascii="宋体" w:hAnsi="宋体" w:eastAsia="宋体"/>
                <w:sz w:val="22"/>
              </w:rPr>
              <w:t>），每有一家得1分；供应的区县级三级医院，每有一家得0.5分；上限共计30分，以药交所平台交易记录为准。</w:t>
            </w:r>
          </w:p>
        </w:tc>
      </w:tr>
      <w:tr w14:paraId="0F4E1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540" w:type="dxa"/>
            <w:gridSpan w:val="3"/>
            <w:vAlign w:val="top"/>
          </w:tcPr>
          <w:p w14:paraId="107789C7">
            <w:pPr>
              <w:spacing w:line="218" w:lineRule="auto"/>
              <w:ind w:left="104" w:leftChars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  <w:lang w:eastAsia="zh-CN"/>
              </w:rPr>
              <w:t>五</w:t>
            </w:r>
            <w:r>
              <w:rPr>
                <w:rFonts w:hint="eastAsia" w:ascii="宋体" w:hAnsi="宋体" w:eastAsia="宋体"/>
                <w:b/>
                <w:sz w:val="22"/>
              </w:rPr>
              <w:t>、其他属性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10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/>
                <w:b/>
                <w:sz w:val="22"/>
              </w:rPr>
              <w:t>)</w:t>
            </w:r>
          </w:p>
        </w:tc>
      </w:tr>
      <w:tr w14:paraId="3ADEB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563" w:type="dxa"/>
            <w:vMerge w:val="restart"/>
            <w:vAlign w:val="center"/>
          </w:tcPr>
          <w:p w14:paraId="0ADDCBE3">
            <w:pPr>
              <w:spacing w:line="360" w:lineRule="auto"/>
              <w:jc w:val="center"/>
              <w:rPr>
                <w:rFonts w:ascii="Arial"/>
                <w:sz w:val="21"/>
              </w:rPr>
            </w:pPr>
          </w:p>
          <w:p w14:paraId="490DB0B1">
            <w:pPr>
              <w:spacing w:before="72" w:line="218" w:lineRule="auto"/>
              <w:ind w:left="101" w:leftChars="0"/>
              <w:jc w:val="center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贮藏条件</w:t>
            </w:r>
          </w:p>
          <w:p w14:paraId="17DFA8CC">
            <w:pPr>
              <w:spacing w:before="72" w:line="218" w:lineRule="auto"/>
              <w:ind w:left="101" w:leftChars="0"/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分)</w:t>
            </w:r>
          </w:p>
        </w:tc>
        <w:tc>
          <w:tcPr>
            <w:tcW w:w="1139" w:type="dxa"/>
            <w:vAlign w:val="top"/>
          </w:tcPr>
          <w:p w14:paraId="392CC1A0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37B1AC0B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考察待遴选药物贮藏条件，评价药品稳定性及药品管理便利性。</w:t>
            </w:r>
          </w:p>
        </w:tc>
      </w:tr>
      <w:tr w14:paraId="2876F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563" w:type="dxa"/>
            <w:vMerge w:val="continue"/>
            <w:vAlign w:val="center"/>
          </w:tcPr>
          <w:p w14:paraId="7D434EAE">
            <w:pPr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</w:p>
        </w:tc>
        <w:tc>
          <w:tcPr>
            <w:tcW w:w="1139" w:type="dxa"/>
            <w:vAlign w:val="top"/>
          </w:tcPr>
          <w:p w14:paraId="741E252E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资料来源</w:t>
            </w:r>
          </w:p>
        </w:tc>
        <w:tc>
          <w:tcPr>
            <w:tcW w:w="6838" w:type="dxa"/>
            <w:vAlign w:val="top"/>
          </w:tcPr>
          <w:p w14:paraId="5AF8A362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药品说明书。</w:t>
            </w:r>
          </w:p>
        </w:tc>
      </w:tr>
      <w:tr w14:paraId="48464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center"/>
          </w:tcPr>
          <w:p w14:paraId="62160A47">
            <w:pPr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</w:p>
        </w:tc>
        <w:tc>
          <w:tcPr>
            <w:tcW w:w="1139" w:type="dxa"/>
            <w:vAlign w:val="top"/>
          </w:tcPr>
          <w:p w14:paraId="5BB42C34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5401564A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根据待遴选药品储藏条件为常温贮藏、阴凉贮藏、冷藏、冷冻及是否需 要遮光/避光进行评分。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具体评分如下：</w:t>
            </w:r>
          </w:p>
          <w:p w14:paraId="2DAB3959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5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常温贮藏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</w:rPr>
              <w:t>4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常温贮藏，避光或遮光</w:t>
            </w:r>
          </w:p>
          <w:p w14:paraId="1CFDA4CF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阴凉贮藏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阴凉贮藏，避光或遮光</w:t>
            </w:r>
          </w:p>
          <w:p w14:paraId="680CF193">
            <w:pPr>
              <w:spacing w:before="72" w:line="218" w:lineRule="auto"/>
              <w:ind w:firstLine="440" w:firstLineChars="200"/>
              <w:rPr>
                <w:rFonts w:hint="default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冷藏/冷冻贮藏</w:t>
            </w:r>
          </w:p>
        </w:tc>
      </w:tr>
      <w:tr w14:paraId="6C06C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563" w:type="dxa"/>
            <w:vMerge w:val="restart"/>
            <w:vAlign w:val="center"/>
          </w:tcPr>
          <w:p w14:paraId="0AF2C2EC">
            <w:pPr>
              <w:spacing w:before="72" w:line="218" w:lineRule="auto"/>
              <w:ind w:left="101" w:leftChars="0"/>
              <w:jc w:val="center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</w:p>
          <w:p w14:paraId="49D24DFF">
            <w:pPr>
              <w:spacing w:before="72" w:line="218" w:lineRule="auto"/>
              <w:ind w:left="101" w:leftChars="0"/>
              <w:jc w:val="center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药品效期</w:t>
            </w:r>
          </w:p>
          <w:p w14:paraId="1D6478DA">
            <w:pPr>
              <w:spacing w:before="72" w:line="218" w:lineRule="auto"/>
              <w:ind w:left="101" w:leftChars="0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(3分)</w:t>
            </w:r>
          </w:p>
        </w:tc>
        <w:tc>
          <w:tcPr>
            <w:tcW w:w="1139" w:type="dxa"/>
            <w:vAlign w:val="top"/>
          </w:tcPr>
          <w:p w14:paraId="2D3EC294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2B33BC90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考察待遴选药品有效期，评价药品稳定性及药品管理的便利性。</w:t>
            </w:r>
          </w:p>
        </w:tc>
      </w:tr>
      <w:tr w14:paraId="5F40A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63" w:type="dxa"/>
            <w:vMerge w:val="continue"/>
            <w:vAlign w:val="center"/>
          </w:tcPr>
          <w:p w14:paraId="665E42CA">
            <w:pPr>
              <w:spacing w:before="72" w:line="218" w:lineRule="auto"/>
              <w:ind w:left="101" w:leftChars="0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</w:pPr>
          </w:p>
        </w:tc>
        <w:tc>
          <w:tcPr>
            <w:tcW w:w="1139" w:type="dxa"/>
            <w:vAlign w:val="top"/>
          </w:tcPr>
          <w:p w14:paraId="4966451A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资料来源</w:t>
            </w:r>
          </w:p>
        </w:tc>
        <w:tc>
          <w:tcPr>
            <w:tcW w:w="6838" w:type="dxa"/>
            <w:vAlign w:val="top"/>
          </w:tcPr>
          <w:p w14:paraId="42DAD258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药品说明书。</w:t>
            </w:r>
          </w:p>
        </w:tc>
      </w:tr>
      <w:tr w14:paraId="28C20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center"/>
          </w:tcPr>
          <w:p w14:paraId="6C5C07B4">
            <w:pPr>
              <w:spacing w:before="72" w:line="218" w:lineRule="auto"/>
              <w:ind w:left="101" w:leftChars="0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</w:pPr>
          </w:p>
        </w:tc>
        <w:tc>
          <w:tcPr>
            <w:tcW w:w="1139" w:type="dxa"/>
            <w:vAlign w:val="top"/>
          </w:tcPr>
          <w:p w14:paraId="4060CCB5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75C2B236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药品效期根据时间长短分为3层：&gt;36个月；24—36个月；&lt;24个月。</w:t>
            </w:r>
          </w:p>
          <w:p w14:paraId="2CFF8CCF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根据待遴选药品的效期进行评分。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具体评分如下：</w:t>
            </w:r>
          </w:p>
          <w:p w14:paraId="18A93F3A">
            <w:pPr>
              <w:spacing w:before="72" w:line="218" w:lineRule="auto"/>
              <w:ind w:left="101" w:leftChars="0"/>
              <w:rPr>
                <w:rFonts w:hint="default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储存有效期：&gt;36月：3分；24-36月（含36月），2分，≤24月者，1分</w:t>
            </w:r>
          </w:p>
        </w:tc>
      </w:tr>
      <w:tr w14:paraId="3E83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563" w:type="dxa"/>
            <w:vMerge w:val="restart"/>
            <w:vAlign w:val="center"/>
          </w:tcPr>
          <w:p w14:paraId="430C030E">
            <w:pPr>
              <w:spacing w:before="72" w:line="218" w:lineRule="auto"/>
              <w:ind w:left="101" w:leftChars="0"/>
              <w:jc w:val="center"/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药品生产企业状况(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分)</w:t>
            </w:r>
          </w:p>
        </w:tc>
        <w:tc>
          <w:tcPr>
            <w:tcW w:w="1139" w:type="dxa"/>
            <w:vAlign w:val="top"/>
          </w:tcPr>
          <w:p w14:paraId="2102D95B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评价目的</w:t>
            </w:r>
          </w:p>
        </w:tc>
        <w:tc>
          <w:tcPr>
            <w:tcW w:w="6838" w:type="dxa"/>
            <w:vAlign w:val="top"/>
          </w:tcPr>
          <w:p w14:paraId="7C7CB30D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考察待遴选药品生产厂家在全球及国内排名，评价药品生产企业状况 </w:t>
            </w:r>
          </w:p>
        </w:tc>
      </w:tr>
      <w:tr w14:paraId="30F22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02986C78">
            <w:pPr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</w:p>
        </w:tc>
        <w:tc>
          <w:tcPr>
            <w:tcW w:w="1139" w:type="dxa"/>
            <w:vAlign w:val="top"/>
          </w:tcPr>
          <w:p w14:paraId="300FAB7A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资料来源</w:t>
            </w:r>
          </w:p>
        </w:tc>
        <w:tc>
          <w:tcPr>
            <w:tcW w:w="6838" w:type="dxa"/>
            <w:vAlign w:val="top"/>
          </w:tcPr>
          <w:p w14:paraId="444B4C0F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2025年6月20日《制药经理人》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（Pharmaceutical Executive）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发布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全球制药企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业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50强榜单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；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中国医药统计网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www.yytj.org.cn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公布的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2024年度中国医药工业主营业务收入前100位企业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。</w:t>
            </w:r>
          </w:p>
        </w:tc>
      </w:tr>
      <w:tr w14:paraId="29618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63" w:type="dxa"/>
            <w:vMerge w:val="continue"/>
            <w:vAlign w:val="top"/>
          </w:tcPr>
          <w:p w14:paraId="62EE7F8F">
            <w:pPr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</w:p>
        </w:tc>
        <w:tc>
          <w:tcPr>
            <w:tcW w:w="1139" w:type="dxa"/>
            <w:vAlign w:val="top"/>
          </w:tcPr>
          <w:p w14:paraId="6D2059CD">
            <w:pPr>
              <w:spacing w:before="72" w:line="218" w:lineRule="auto"/>
              <w:ind w:left="101" w:leftChars="0"/>
              <w:rPr>
                <w:rFonts w:ascii="宋体" w:hAnsi="宋体" w:eastAsia="宋体" w:cs="宋体"/>
                <w:spacing w:val="4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评价内容</w:t>
            </w:r>
          </w:p>
        </w:tc>
        <w:tc>
          <w:tcPr>
            <w:tcW w:w="6838" w:type="dxa"/>
            <w:vAlign w:val="top"/>
          </w:tcPr>
          <w:p w14:paraId="7AD3C37B">
            <w:pPr>
              <w:spacing w:before="72" w:line="218" w:lineRule="auto"/>
              <w:ind w:left="101" w:leftChars="0"/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药品生产企业可分为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层：世界销量前50制药企业；生产企业在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中国医药工业主营业务收入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百强榜。根据待遴选药品的生产企业状况进行评分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2"/>
              </w:rPr>
              <w:t>上限共计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具体评分如下：</w:t>
            </w:r>
          </w:p>
          <w:p w14:paraId="60C8AFAD">
            <w:pPr>
              <w:ind w:firstLine="440" w:firstLineChars="20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2"/>
              </w:rPr>
              <w:t>生产企业为世界销量前50制药企业</w:t>
            </w:r>
          </w:p>
          <w:p w14:paraId="5596D8F5">
            <w:pPr>
              <w:spacing w:before="72" w:line="218" w:lineRule="auto"/>
              <w:ind w:firstLine="440" w:firstLineChars="20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1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2"/>
              </w:rPr>
              <w:t>生产企业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为</w:t>
            </w:r>
            <w:r>
              <w:rPr>
                <w:rFonts w:hint="eastAsia" w:ascii="宋体" w:hAnsi="宋体" w:eastAsia="宋体"/>
                <w:sz w:val="22"/>
              </w:rPr>
              <w:t>中国医药工业主营业务收入前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100</w:t>
            </w:r>
            <w:r>
              <w:rPr>
                <w:rFonts w:hint="eastAsia" w:ascii="宋体" w:hAnsi="宋体" w:eastAsia="宋体"/>
                <w:sz w:val="22"/>
              </w:rPr>
              <w:t>位企业</w:t>
            </w:r>
          </w:p>
        </w:tc>
      </w:tr>
    </w:tbl>
    <w:p w14:paraId="52EFEE8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注：若总分相同时，选择经济性得分高者；经济性得分相同时，选择可及性得分高者；可及性得分相同时，选择其他属性得分高者。</w:t>
      </w:r>
    </w:p>
    <w:sectPr>
      <w:pgSz w:w="11900" w:h="16830"/>
      <w:pgMar w:top="1430" w:right="1155" w:bottom="0" w:left="11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jc4ZDNjODllY2I3YjIyNjNjNDgzMzAyOGE1YTM3ZGYifQ=="/>
  </w:docVars>
  <w:rsids>
    <w:rsidRoot w:val="00000000"/>
    <w:rsid w:val="00E3769D"/>
    <w:rsid w:val="04011C0A"/>
    <w:rsid w:val="09BA785F"/>
    <w:rsid w:val="0F21718D"/>
    <w:rsid w:val="19CB4051"/>
    <w:rsid w:val="269B415A"/>
    <w:rsid w:val="28572A63"/>
    <w:rsid w:val="2D0E5120"/>
    <w:rsid w:val="35EF7A12"/>
    <w:rsid w:val="3D094F0F"/>
    <w:rsid w:val="48715DFB"/>
    <w:rsid w:val="4BBA7AEA"/>
    <w:rsid w:val="4E2D4BE1"/>
    <w:rsid w:val="5A383B26"/>
    <w:rsid w:val="5C097CAA"/>
    <w:rsid w:val="606F6AE2"/>
    <w:rsid w:val="677E1BB2"/>
    <w:rsid w:val="679C3383"/>
    <w:rsid w:val="6C1F3963"/>
    <w:rsid w:val="736923B7"/>
    <w:rsid w:val="7FA448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2265</Words>
  <Characters>2457</Characters>
  <TotalTime>0</TotalTime>
  <ScaleCrop>false</ScaleCrop>
  <LinksUpToDate>false</LinksUpToDate>
  <CharactersWithSpaces>2545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2022-12-20T19:43:00Z</dcterms:created>
  <dc:creator>Kingsoft-PDF</dc:creator>
  <cp:lastModifiedBy>全全</cp:lastModifiedBy>
  <dcterms:modified xsi:type="dcterms:W3CDTF">2026-07-23T09:29:08Z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2022-12-20T19:43:31Z</vt:filetime>
  </property>
  <property fmtid="{D5CDD505-2E9C-101B-9397-08002B2CF9AE}" pid="4" name="UsrData">
    <vt:lpwstr>63a19fd7e817070015587fde</vt:lpwstr>
  </property>
  <property fmtid="{D5CDD505-2E9C-101B-9397-08002B2CF9AE}" pid="5" name="KSOProductBuildVer">
    <vt:lpwstr>2052-12.1.0.26895</vt:lpwstr>
  </property>
  <property fmtid="{D5CDD505-2E9C-101B-9397-08002B2CF9AE}" pid="6" name="ICV">
    <vt:lpwstr>AF3ACBEA727C4768AFAE9656E5D1078A_13</vt:lpwstr>
  </property>
  <property fmtid="{D5CDD505-2E9C-101B-9397-08002B2CF9AE}" pid="7" name="KSOTemplateDocerSaveRecord">
    <vt:lpwstr>eyJoZGlkIjoiYmNjMjEwMDVjNzhkZGQzMGQ3ZmFmYTEzZDk1Mzc4YTQiLCJ1c2VySWQiOiIzMTQwNzg3NTQifQ==</vt:lpwstr>
  </property>
</Properties>
</file>